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Estate assets and realisation evidence approved review scope</w:t>
      </w:r>
    </w:p>
    <w:p>
      <w:r>
        <w:t>Complete this editable internal scope before preparing real matter data. Blank fields mean approval is incomplete. This is an editorial review template, not an official legal form.</w:t>
      </w:r>
    </w:p>
    <w:p>
      <w:pPr>
        <w:pStyle w:val="Heading1"/>
      </w:pPr>
      <w:r>
        <w:t>S1 Review authority and privacy</w:t>
      </w:r>
    </w:p>
    <w:p>
      <w:r>
        <w:t>Responsible lawyer confirms jurisdiction, applicable court AI rules, scope, client confidentiality, processing terms and authority before real matter data is indexed. Test in a synthetic matter first.</w:t>
      </w:r>
    </w:p>
    <w:p>
      <w:r>
        <w:t>Existing licensed, authorised AU Smokeball and Archie access. Add-ons and specialised modules must already be enabled; no new permissions or connections are included.</w:t>
      </w:r>
    </w:p>
    <w:p>
      <w:r>
        <w:t>Lawyer supplies the current matter-specific review checklist, permitted source list, and any controlling orders. No automatic deadline calculation.</w:t>
      </w:r>
    </w:p>
    <w:p>
      <w:r>
        <w:t>Before using real data, the responsible lawyer must approve the existing indexed matter context, processing terms, staff access and shared chat history. Archie may index the last 50 recently worked matters when enabled. Selecting attachments or saying ONLY in a prompt is not a privacy boundary. Do not enable Archie or change permissions as part of this recipe. If existing access exceeds authority, stop; use an already-approved segregated matter/workspace or a human review.</w:t>
      </w:r>
    </w:p>
    <w:p>
      <w:r>
        <w:t>Create an expected-source and covered-item register with stable document IDs and original page/section/record locators. Use bounded batches of at most 20 attached files, smaller where text is long. Combined text may be trimmed. Confirm every expected source and item was actually read; any absent, unreadable, truncated or unprocessed batch means INCOMPLETE, never a completeness assurance. Do not invent page numbers.</w:t>
      </w:r>
    </w:p>
    <w:p>
      <w:r>
        <w:t>Responsible NSW lawyer checks current SC Gen 23, including paragraph 9A restricted-input requirements, before indexing or prompting. This is an internal factual review, never affidavit, witness-statement or evidence generation. If the input is prohibited or authority is uncertain, stop before AI use.</w:t>
      </w:r>
    </w:p>
    <w:p>
      <w:r>
        <w:br w:type="page"/>
      </w:r>
    </w:p>
    <w:p>
      <w:pPr>
        <w:pStyle w:val="Heading1"/>
      </w:pPr>
      <w:r>
        <w:t>S2 Authorisation record</w:t>
      </w:r>
    </w:p>
    <w:p>
      <w:r>
        <w:t>Matter alias and authorised jurisdiction: [complete]</w:t>
      </w:r>
    </w:p>
    <w:p>
      <w:r>
        <w:t>Responsible lawyer and approval date: [complete]</w:t>
      </w:r>
    </w:p>
    <w:p>
      <w:r>
        <w:t>Permitted processing terms and retention controls: [complete]</w:t>
      </w:r>
    </w:p>
    <w:p>
      <w:r>
        <w:t>Approved source IDs and excluded source IDs: [complete]</w:t>
      </w:r>
    </w:p>
    <w:p>
      <w:r>
        <w:t>AI ingestion authority for every document and note in the selected matter: [complete]</w:t>
      </w:r>
    </w:p>
    <w:p>
      <w:r>
        <w:t>Intended recipients of this internal report: [complete]</w:t>
      </w:r>
    </w:p>
    <w:p>
      <w:r>
        <w:t>Aliases alone do not anonymise narratives or attachments. Keep original evidence and any alias key in approved restricted storage. Do not prepare or index a real-data batch while any authority or confidentiality check is unresolved.</w:t>
      </w:r>
    </w:p>
    <w:p>
      <w:pPr>
        <w:pStyle w:val="Heading1"/>
      </w:pPr>
      <w:r>
        <w:t>S3 Source preparation record</w:t>
      </w:r>
    </w:p>
    <w:p>
      <w:r>
        <w:t>Obtain the existing approved inventory document from the authorised matter Files section; no native export is claimed. Archie does not read trust transaction history. Staff supplies reviewed source documents. Preserve currency, dates, basis and allocation. Record specific comparison authority before any arithmetic; do not equate inventory estimates with proceeds.</w:t>
      </w:r>
    </w:p>
    <w:p>
      <w:r>
        <w:t>Review question and field or item IDs: [complete]</w:t>
      </w:r>
    </w:p>
    <w:p>
      <w:r>
        <w:t>Approved checklist title version and date: [complete]</w:t>
      </w:r>
    </w:p>
    <w:p>
      <w:r>
        <w:t>For each source record: stable source ID; original file or native record; original page or section; prepared document page and section; verification person and date: [complete]</w:t>
      </w:r>
    </w:p>
    <w:p>
      <w:r>
        <w:t>Sources absent unreadable or excluded and reason: [complete]</w:t>
      </w:r>
    </w:p>
    <w:p>
      <w:r>
        <w:t>Approved batch identifier and complete source inventory: [complete]</w:t>
      </w:r>
    </w:p>
    <w:p>
      <w:r>
        <w:t>Staff verification of every text copy against the original: [complete]</w:t>
      </w:r>
    </w:p>
    <w:p>
      <w:r>
        <w:br w:type="page"/>
      </w:r>
    </w:p>
    <w:p>
      <w:pPr>
        <w:pStyle w:val="Heading1"/>
      </w:pPr>
      <w:r>
        <w:t>S4 Output and human review</w:t>
      </w:r>
    </w:p>
    <w:p>
      <w:r>
        <w:t>Use review-output.csv only as the editorial output schema. It is not a native export or an import into Smokeball. Keep expected-results.csv separate from every AI run; it is the synthetic test answer key.</w:t>
      </w:r>
    </w:p>
    <w:p>
      <w:r>
        <w:t>Output headers in exact order: asset_id, inventory_value, inventory_currency, inventory_valuation_date, inventory_basis, realisation_type, realised_proceeds, proceeds_currency, realisation_date, transfer_description, allocation_basis, remaining_status, comparison_permitted, reconciliation_question, source_ref, source_locator, batch_id, coverage_status, manual_review</w:t>
      </w:r>
    </w:p>
    <w:p>
      <w:r>
        <w:t>source-coverage-register.csv is the blank coverage worksheet. synthetic-source-coverage-example.csv is a separate unreviewed training plan. The schema records batch IDs, original locators, expected and covered items, readability, truncation checks, status and reviewer. Neither file is a native export.</w:t>
      </w:r>
    </w:p>
    <w:p>
      <w:r>
        <w:t>Coverage check for this batch: [expected item IDs] / [returned item IDs] / [unresolved or omitted item IDs]. Any omitted or truncated source makes the review incomplete. Missing and unreadable labels are human-recorded source availability metadata, not AI detection of OCR or ingestion failures.</w:t>
      </w:r>
    </w:p>
    <w:p>
      <w:r>
        <w:t>No distribution calculation, asset-entitlement decision, tax advice, trust compliance certification or money movement. Accountant/lawyer checks arithmetic and legal treatment against originals.</w:t>
      </w:r>
    </w:p>
    <w:p>
      <w:r>
        <w:t>Internal administrative review only. Do not infer legal compliance from completeness; do not file, serve, contact anyone, change originals or decide legal rights.</w:t>
      </w:r>
    </w:p>
    <w:p>
      <w:r>
        <w:t>Reviewer name and date: [complete]. Every exception and a sample of matched rows checked against sources: [complete]. Separate authority for any later communication or record change: [complete].</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Estate assets and realisation evidence approved review scope</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